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22BA" w14:textId="6AB822D7" w:rsidR="00850E94" w:rsidRPr="00FE28CB" w:rsidRDefault="00850E94" w:rsidP="00FE28CB">
      <w:pPr>
        <w:spacing w:line="276" w:lineRule="auto"/>
        <w:rPr>
          <w:rFonts w:cs="Arial"/>
          <w:sz w:val="24"/>
          <w:szCs w:val="24"/>
        </w:rPr>
      </w:pPr>
    </w:p>
    <w:p w14:paraId="2825A364" w14:textId="77777777" w:rsidR="00DE0C40" w:rsidRDefault="00DE0C40" w:rsidP="001A74E6">
      <w:pPr>
        <w:pStyle w:val="Title"/>
        <w:spacing w:line="276" w:lineRule="auto"/>
        <w:rPr>
          <w:rFonts w:ascii="Arial" w:hAnsi="Arial" w:cs="Arial"/>
          <w:sz w:val="28"/>
          <w:szCs w:val="28"/>
        </w:rPr>
      </w:pPr>
    </w:p>
    <w:p w14:paraId="46F9F112" w14:textId="77777777" w:rsidR="00DE0C40" w:rsidRDefault="00DE0C40" w:rsidP="001A74E6">
      <w:pPr>
        <w:pStyle w:val="Title"/>
        <w:spacing w:line="276" w:lineRule="auto"/>
        <w:rPr>
          <w:rFonts w:ascii="Arial" w:hAnsi="Arial" w:cs="Arial"/>
          <w:sz w:val="28"/>
          <w:szCs w:val="28"/>
        </w:rPr>
      </w:pPr>
    </w:p>
    <w:p w14:paraId="7A15B448" w14:textId="03D34EE9" w:rsidR="00FE28CB" w:rsidRPr="00FE28CB" w:rsidRDefault="00130633" w:rsidP="001A74E6">
      <w:pPr>
        <w:pStyle w:val="Title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Hemlo Superior</w:t>
      </w:r>
      <w:r w:rsidR="00FE28CB" w:rsidRPr="00FE28CB">
        <w:rPr>
          <w:rFonts w:ascii="Arial" w:hAnsi="Arial" w:cs="Arial"/>
          <w:sz w:val="28"/>
          <w:szCs w:val="28"/>
        </w:rPr>
        <w:t xml:space="preserve"> Loan Fund Policy</w:t>
      </w:r>
    </w:p>
    <w:p w14:paraId="2DB2321B" w14:textId="77777777" w:rsidR="00FE28CB" w:rsidRPr="00FE28CB" w:rsidRDefault="00FE28CB" w:rsidP="00FE28CB">
      <w:pPr>
        <w:pStyle w:val="Title"/>
        <w:spacing w:line="276" w:lineRule="auto"/>
        <w:rPr>
          <w:rFonts w:ascii="Arial" w:hAnsi="Arial" w:cs="Arial"/>
          <w:sz w:val="24"/>
        </w:rPr>
      </w:pPr>
    </w:p>
    <w:p w14:paraId="28390AB4" w14:textId="77777777" w:rsidR="00FE28CB" w:rsidRPr="00FE28CB" w:rsidRDefault="00FE28CB" w:rsidP="00FE28CB">
      <w:pPr>
        <w:pStyle w:val="Title"/>
        <w:spacing w:line="276" w:lineRule="auto"/>
        <w:jc w:val="left"/>
        <w:rPr>
          <w:rFonts w:ascii="Arial" w:hAnsi="Arial" w:cs="Arial"/>
          <w:b w:val="0"/>
          <w:bCs w:val="0"/>
          <w:sz w:val="24"/>
        </w:rPr>
      </w:pPr>
    </w:p>
    <w:p w14:paraId="2F5C6D83" w14:textId="49DA011A" w:rsidR="00FE28CB" w:rsidRPr="00DE0C40" w:rsidRDefault="00DE0C40" w:rsidP="00FE28CB">
      <w:pPr>
        <w:numPr>
          <w:ilvl w:val="0"/>
          <w:numId w:val="10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 STATEMENT OF PURPOSE</w:t>
      </w:r>
    </w:p>
    <w:p w14:paraId="07E2176E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07A98C77" w14:textId="4DCF046B" w:rsidR="00FE28CB" w:rsidRPr="00FE28CB" w:rsidRDefault="00FE28CB" w:rsidP="00FE28CB">
      <w:pPr>
        <w:pStyle w:val="BodyTextIndent"/>
        <w:spacing w:line="276" w:lineRule="auto"/>
        <w:ind w:left="0"/>
        <w:rPr>
          <w:rFonts w:ascii="Arial" w:hAnsi="Arial" w:cs="Arial"/>
          <w:sz w:val="24"/>
        </w:rPr>
      </w:pPr>
      <w:r w:rsidRPr="00FE28CB">
        <w:rPr>
          <w:rFonts w:ascii="Arial" w:hAnsi="Arial" w:cs="Arial"/>
          <w:sz w:val="24"/>
        </w:rPr>
        <w:t xml:space="preserve">The purpose of the </w:t>
      </w:r>
      <w:r w:rsidR="00130633">
        <w:rPr>
          <w:rFonts w:ascii="Arial" w:hAnsi="Arial" w:cs="Arial"/>
          <w:sz w:val="24"/>
        </w:rPr>
        <w:t>Hemlo Superior</w:t>
      </w:r>
      <w:r w:rsidRPr="00FE28CB">
        <w:rPr>
          <w:rFonts w:ascii="Arial" w:hAnsi="Arial" w:cs="Arial"/>
          <w:sz w:val="24"/>
        </w:rPr>
        <w:t xml:space="preserve"> Loan Fund policy is to set forth general guidelines for the loan review and approval process for the </w:t>
      </w:r>
      <w:r w:rsidR="001A74E6">
        <w:rPr>
          <w:rFonts w:ascii="Arial" w:hAnsi="Arial" w:cs="Arial"/>
          <w:sz w:val="24"/>
        </w:rPr>
        <w:t>Manitouwadge</w:t>
      </w:r>
      <w:r w:rsidR="0079769D">
        <w:rPr>
          <w:rFonts w:ascii="Arial" w:hAnsi="Arial" w:cs="Arial"/>
          <w:sz w:val="24"/>
        </w:rPr>
        <w:t xml:space="preserve"> Economic Development Corporation (MEDC)</w:t>
      </w:r>
      <w:r w:rsidRPr="00FE28CB">
        <w:rPr>
          <w:rFonts w:ascii="Arial" w:hAnsi="Arial" w:cs="Arial"/>
          <w:sz w:val="24"/>
        </w:rPr>
        <w:t>, in</w:t>
      </w:r>
      <w:r w:rsidR="001A74E6">
        <w:rPr>
          <w:rFonts w:ascii="Arial" w:hAnsi="Arial" w:cs="Arial"/>
          <w:sz w:val="24"/>
        </w:rPr>
        <w:t xml:space="preserve"> partnership with Barrick </w:t>
      </w:r>
      <w:r w:rsidR="0090025D">
        <w:rPr>
          <w:rFonts w:ascii="Arial" w:hAnsi="Arial" w:cs="Arial"/>
          <w:sz w:val="24"/>
        </w:rPr>
        <w:t>Gold Inc.</w:t>
      </w:r>
      <w:r w:rsidR="001A74E6">
        <w:rPr>
          <w:rFonts w:ascii="Arial" w:hAnsi="Arial" w:cs="Arial"/>
          <w:sz w:val="24"/>
        </w:rPr>
        <w:t xml:space="preserve"> and in</w:t>
      </w:r>
      <w:r w:rsidRPr="00FE28CB">
        <w:rPr>
          <w:rFonts w:ascii="Arial" w:hAnsi="Arial" w:cs="Arial"/>
          <w:sz w:val="24"/>
        </w:rPr>
        <w:t xml:space="preserve"> </w:t>
      </w:r>
      <w:r w:rsidR="001A74E6">
        <w:rPr>
          <w:rFonts w:ascii="Arial" w:hAnsi="Arial" w:cs="Arial"/>
          <w:sz w:val="24"/>
        </w:rPr>
        <w:t>cooperation</w:t>
      </w:r>
      <w:r w:rsidRPr="00FE28CB">
        <w:rPr>
          <w:rFonts w:ascii="Arial" w:hAnsi="Arial" w:cs="Arial"/>
          <w:sz w:val="24"/>
        </w:rPr>
        <w:t xml:space="preserve"> with the t</w:t>
      </w:r>
      <w:r w:rsidR="0079769D">
        <w:rPr>
          <w:rFonts w:ascii="Arial" w:hAnsi="Arial" w:cs="Arial"/>
          <w:sz w:val="24"/>
        </w:rPr>
        <w:t>hree</w:t>
      </w:r>
      <w:r w:rsidRPr="00FE28CB">
        <w:rPr>
          <w:rFonts w:ascii="Arial" w:hAnsi="Arial" w:cs="Arial"/>
          <w:sz w:val="24"/>
        </w:rPr>
        <w:t xml:space="preserve"> municipalities of</w:t>
      </w:r>
      <w:r w:rsidR="0079769D">
        <w:rPr>
          <w:rFonts w:ascii="Arial" w:hAnsi="Arial" w:cs="Arial"/>
          <w:sz w:val="24"/>
        </w:rPr>
        <w:t xml:space="preserve"> Manitouwadge,</w:t>
      </w:r>
      <w:r w:rsidRPr="00FE28CB">
        <w:rPr>
          <w:rFonts w:ascii="Arial" w:hAnsi="Arial" w:cs="Arial"/>
          <w:sz w:val="24"/>
        </w:rPr>
        <w:t xml:space="preserve"> Marathon</w:t>
      </w:r>
      <w:r w:rsidR="001A74E6">
        <w:rPr>
          <w:rFonts w:ascii="Arial" w:hAnsi="Arial" w:cs="Arial"/>
          <w:sz w:val="24"/>
        </w:rPr>
        <w:t xml:space="preserve"> </w:t>
      </w:r>
      <w:r w:rsidRPr="00FE28CB">
        <w:rPr>
          <w:rFonts w:ascii="Arial" w:hAnsi="Arial" w:cs="Arial"/>
          <w:sz w:val="24"/>
        </w:rPr>
        <w:t>and White River</w:t>
      </w:r>
      <w:r w:rsidR="00227B2E">
        <w:rPr>
          <w:rFonts w:ascii="Arial" w:hAnsi="Arial" w:cs="Arial"/>
          <w:sz w:val="24"/>
        </w:rPr>
        <w:t>, to administer a loan fund,</w:t>
      </w:r>
      <w:r w:rsidR="00227B2E" w:rsidRPr="00227B2E">
        <w:rPr>
          <w:rFonts w:ascii="Arial" w:hAnsi="Arial" w:cs="Arial"/>
          <w:sz w:val="24"/>
        </w:rPr>
        <w:t xml:space="preserve"> </w:t>
      </w:r>
      <w:r w:rsidR="00227B2E" w:rsidRPr="00FE28CB">
        <w:rPr>
          <w:rFonts w:ascii="Arial" w:hAnsi="Arial" w:cs="Arial"/>
          <w:sz w:val="24"/>
        </w:rPr>
        <w:t xml:space="preserve">herein after referred to as </w:t>
      </w:r>
      <w:r w:rsidR="00227B2E">
        <w:rPr>
          <w:rFonts w:ascii="Arial" w:hAnsi="Arial" w:cs="Arial"/>
          <w:sz w:val="24"/>
        </w:rPr>
        <w:t xml:space="preserve">the Hemlo </w:t>
      </w:r>
      <w:r w:rsidR="00111883">
        <w:rPr>
          <w:rFonts w:ascii="Arial" w:hAnsi="Arial" w:cs="Arial"/>
          <w:sz w:val="24"/>
        </w:rPr>
        <w:t>Superior</w:t>
      </w:r>
      <w:r w:rsidR="00227B2E">
        <w:rPr>
          <w:rFonts w:ascii="Arial" w:hAnsi="Arial" w:cs="Arial"/>
          <w:sz w:val="24"/>
        </w:rPr>
        <w:t xml:space="preserve"> Loan Fund</w:t>
      </w:r>
      <w:r w:rsidRPr="00FE28CB">
        <w:rPr>
          <w:rFonts w:ascii="Arial" w:hAnsi="Arial" w:cs="Arial"/>
          <w:sz w:val="24"/>
        </w:rPr>
        <w:t xml:space="preserve">.  </w:t>
      </w:r>
      <w:r w:rsidR="001C50DE">
        <w:rPr>
          <w:rFonts w:ascii="Arial" w:hAnsi="Arial" w:cs="Arial"/>
          <w:sz w:val="24"/>
        </w:rPr>
        <w:t>This policy</w:t>
      </w:r>
      <w:r w:rsidRPr="00FE28CB">
        <w:rPr>
          <w:rFonts w:ascii="Arial" w:hAnsi="Arial" w:cs="Arial"/>
          <w:sz w:val="24"/>
        </w:rPr>
        <w:t xml:space="preserve"> is intended to provide a framework for consistent and quality</w:t>
      </w:r>
      <w:r w:rsidR="00225102">
        <w:rPr>
          <w:rFonts w:ascii="Arial" w:hAnsi="Arial" w:cs="Arial"/>
          <w:sz w:val="24"/>
        </w:rPr>
        <w:t xml:space="preserve"> </w:t>
      </w:r>
      <w:r w:rsidRPr="00FE28CB">
        <w:rPr>
          <w:rFonts w:ascii="Arial" w:hAnsi="Arial" w:cs="Arial"/>
          <w:sz w:val="24"/>
        </w:rPr>
        <w:t>lending decisions.</w:t>
      </w:r>
    </w:p>
    <w:p w14:paraId="0E7E58DF" w14:textId="77777777" w:rsidR="00FE28CB" w:rsidRPr="00FE28CB" w:rsidRDefault="00FE28CB" w:rsidP="00FE28CB">
      <w:pPr>
        <w:pStyle w:val="BodyTextIndent"/>
        <w:spacing w:line="276" w:lineRule="auto"/>
        <w:ind w:left="0"/>
        <w:rPr>
          <w:rFonts w:ascii="Arial" w:hAnsi="Arial" w:cs="Arial"/>
          <w:sz w:val="24"/>
        </w:rPr>
      </w:pPr>
    </w:p>
    <w:p w14:paraId="202419DD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2400E544" w14:textId="77777777" w:rsidR="00FE28CB" w:rsidRPr="00DE0C40" w:rsidRDefault="00FE28CB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r w:rsidRPr="00DE0C40">
        <w:rPr>
          <w:rFonts w:cs="Arial"/>
          <w:b/>
          <w:sz w:val="24"/>
          <w:szCs w:val="24"/>
          <w:u w:val="single"/>
        </w:rPr>
        <w:t>OBJECTIVES</w:t>
      </w:r>
    </w:p>
    <w:p w14:paraId="51681B19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21E46D2B" w14:textId="0E8A954F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>The objective is to provide loans to</w:t>
      </w:r>
      <w:r w:rsidR="001C50DE">
        <w:rPr>
          <w:rFonts w:cs="Arial"/>
          <w:sz w:val="24"/>
          <w:szCs w:val="24"/>
        </w:rPr>
        <w:t xml:space="preserve"> existing</w:t>
      </w:r>
      <w:r w:rsidRPr="00FE28CB">
        <w:rPr>
          <w:rFonts w:cs="Arial"/>
          <w:sz w:val="24"/>
          <w:szCs w:val="24"/>
        </w:rPr>
        <w:t xml:space="preserve"> small </w:t>
      </w:r>
      <w:r w:rsidR="001A74E6">
        <w:rPr>
          <w:rFonts w:cs="Arial"/>
          <w:sz w:val="24"/>
          <w:szCs w:val="24"/>
        </w:rPr>
        <w:t>and start</w:t>
      </w:r>
      <w:r w:rsidR="001C50DE">
        <w:rPr>
          <w:rFonts w:cs="Arial"/>
          <w:sz w:val="24"/>
          <w:szCs w:val="24"/>
        </w:rPr>
        <w:t>-</w:t>
      </w:r>
      <w:r w:rsidR="001A74E6">
        <w:rPr>
          <w:rFonts w:cs="Arial"/>
          <w:sz w:val="24"/>
          <w:szCs w:val="24"/>
        </w:rPr>
        <w:t>up businesses</w:t>
      </w:r>
      <w:r w:rsidRPr="00FE28CB">
        <w:rPr>
          <w:rFonts w:cs="Arial"/>
          <w:sz w:val="24"/>
          <w:szCs w:val="24"/>
        </w:rPr>
        <w:t xml:space="preserve"> </w:t>
      </w:r>
      <w:proofErr w:type="gramStart"/>
      <w:r w:rsidRPr="00FE28CB">
        <w:rPr>
          <w:rFonts w:cs="Arial"/>
          <w:sz w:val="24"/>
          <w:szCs w:val="24"/>
        </w:rPr>
        <w:t>who</w:t>
      </w:r>
      <w:proofErr w:type="gramEnd"/>
      <w:r w:rsidR="001C50DE">
        <w:rPr>
          <w:rFonts w:cs="Arial"/>
          <w:sz w:val="24"/>
          <w:szCs w:val="24"/>
        </w:rPr>
        <w:t xml:space="preserve"> </w:t>
      </w:r>
      <w:r w:rsidR="001A74E6">
        <w:rPr>
          <w:rFonts w:cs="Arial"/>
          <w:sz w:val="24"/>
          <w:szCs w:val="24"/>
        </w:rPr>
        <w:t xml:space="preserve">will have storefront operations in one of </w:t>
      </w:r>
      <w:r w:rsidR="001A74E6" w:rsidRPr="00FE28CB">
        <w:rPr>
          <w:rFonts w:cs="Arial"/>
          <w:sz w:val="24"/>
          <w:szCs w:val="24"/>
        </w:rPr>
        <w:t>the three municipalities of Marathon, Manitouwadge and White River, located along the north shore of Lake Superior</w:t>
      </w:r>
      <w:r w:rsidR="001A74E6">
        <w:rPr>
          <w:rFonts w:cs="Arial"/>
          <w:sz w:val="24"/>
          <w:szCs w:val="24"/>
        </w:rPr>
        <w:t>.</w:t>
      </w:r>
    </w:p>
    <w:p w14:paraId="533CD15A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5F385584" w14:textId="77777777" w:rsidR="00FE28CB" w:rsidRPr="00FE28CB" w:rsidRDefault="00FE28CB" w:rsidP="00FE28CB">
      <w:pPr>
        <w:spacing w:line="276" w:lineRule="auto"/>
        <w:ind w:left="720"/>
        <w:rPr>
          <w:rFonts w:cs="Arial"/>
          <w:sz w:val="24"/>
          <w:szCs w:val="24"/>
        </w:rPr>
      </w:pPr>
    </w:p>
    <w:p w14:paraId="0F359168" w14:textId="5A80C4F9" w:rsidR="00FE28CB" w:rsidRPr="00DE0C40" w:rsidRDefault="00DE0C40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bookmarkStart w:id="0" w:name="_Hlk40881393"/>
      <w:bookmarkStart w:id="1" w:name="_Hlk45797301"/>
      <w:r>
        <w:rPr>
          <w:rFonts w:cs="Arial"/>
          <w:b/>
          <w:sz w:val="24"/>
          <w:szCs w:val="24"/>
          <w:u w:val="single"/>
        </w:rPr>
        <w:t>LOAN CRITERIA</w:t>
      </w:r>
    </w:p>
    <w:p w14:paraId="1517FE34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547FC5F0" w14:textId="5FFFCA51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 xml:space="preserve">The loan </w:t>
      </w:r>
      <w:r w:rsidR="001A74E6">
        <w:rPr>
          <w:rFonts w:cs="Arial"/>
          <w:sz w:val="24"/>
          <w:szCs w:val="24"/>
        </w:rPr>
        <w:t>is intended to provide financial support to</w:t>
      </w:r>
      <w:r w:rsidRPr="00FE28CB">
        <w:rPr>
          <w:rFonts w:cs="Arial"/>
          <w:sz w:val="24"/>
          <w:szCs w:val="24"/>
        </w:rPr>
        <w:t xml:space="preserve"> small businesses (generally regarded as a</w:t>
      </w:r>
      <w:r w:rsidR="001A74E6">
        <w:rPr>
          <w:rFonts w:cs="Arial"/>
          <w:sz w:val="24"/>
          <w:szCs w:val="24"/>
        </w:rPr>
        <w:t xml:space="preserve"> </w:t>
      </w:r>
      <w:r w:rsidR="00DE05D2">
        <w:rPr>
          <w:rFonts w:cs="Arial"/>
          <w:sz w:val="24"/>
          <w:szCs w:val="24"/>
        </w:rPr>
        <w:t>storefront</w:t>
      </w:r>
      <w:r w:rsidR="00DE05D2" w:rsidRPr="00FE28CB">
        <w:rPr>
          <w:rFonts w:cs="Arial"/>
          <w:sz w:val="24"/>
          <w:szCs w:val="24"/>
        </w:rPr>
        <w:t xml:space="preserve"> business</w:t>
      </w:r>
      <w:r w:rsidRPr="00FE28CB">
        <w:rPr>
          <w:rFonts w:cs="Arial"/>
          <w:sz w:val="24"/>
          <w:szCs w:val="24"/>
        </w:rPr>
        <w:t xml:space="preserve"> with </w:t>
      </w:r>
      <w:r w:rsidR="001A74E6">
        <w:rPr>
          <w:rFonts w:cs="Arial"/>
          <w:sz w:val="24"/>
          <w:szCs w:val="24"/>
        </w:rPr>
        <w:t xml:space="preserve">annual </w:t>
      </w:r>
      <w:r w:rsidR="00003E07">
        <w:rPr>
          <w:rFonts w:cs="Arial"/>
          <w:sz w:val="24"/>
          <w:szCs w:val="24"/>
        </w:rPr>
        <w:t>revenues lower than $</w:t>
      </w:r>
      <w:r w:rsidR="00250C7D">
        <w:rPr>
          <w:rFonts w:cs="Arial"/>
          <w:sz w:val="24"/>
          <w:szCs w:val="24"/>
        </w:rPr>
        <w:t>1M however other applicants will be considered</w:t>
      </w:r>
      <w:r w:rsidRPr="00FE28CB">
        <w:rPr>
          <w:rFonts w:cs="Arial"/>
          <w:sz w:val="24"/>
          <w:szCs w:val="24"/>
        </w:rPr>
        <w:t>)</w:t>
      </w:r>
      <w:r w:rsidR="001A74E6">
        <w:rPr>
          <w:rFonts w:cs="Arial"/>
          <w:sz w:val="24"/>
          <w:szCs w:val="24"/>
        </w:rPr>
        <w:t xml:space="preserve">. </w:t>
      </w:r>
      <w:r w:rsidRPr="00FE28CB">
        <w:rPr>
          <w:rFonts w:cs="Arial"/>
          <w:sz w:val="24"/>
          <w:szCs w:val="24"/>
        </w:rPr>
        <w:t>The</w:t>
      </w:r>
      <w:r w:rsidR="00227B2E">
        <w:rPr>
          <w:rFonts w:cs="Arial"/>
          <w:sz w:val="24"/>
          <w:szCs w:val="24"/>
        </w:rPr>
        <w:t xml:space="preserve"> existing or new start-up</w:t>
      </w:r>
      <w:r w:rsidRPr="00FE28CB">
        <w:rPr>
          <w:rFonts w:cs="Arial"/>
          <w:sz w:val="24"/>
          <w:szCs w:val="24"/>
        </w:rPr>
        <w:t xml:space="preserve"> business would need to </w:t>
      </w:r>
      <w:r w:rsidR="001A74E6">
        <w:rPr>
          <w:rFonts w:cs="Arial"/>
          <w:sz w:val="24"/>
          <w:szCs w:val="24"/>
        </w:rPr>
        <w:t>apply for</w:t>
      </w:r>
      <w:r w:rsidRPr="00FE28CB">
        <w:rPr>
          <w:rFonts w:cs="Arial"/>
          <w:sz w:val="24"/>
          <w:szCs w:val="24"/>
        </w:rPr>
        <w:t xml:space="preserve"> the funds </w:t>
      </w:r>
      <w:r w:rsidR="001A74E6">
        <w:rPr>
          <w:rFonts w:cs="Arial"/>
          <w:sz w:val="24"/>
          <w:szCs w:val="24"/>
        </w:rPr>
        <w:t>through an application submitted to the Township of Manitouwadge, Economic Development Office (the loan administrator)</w:t>
      </w:r>
      <w:r w:rsidRPr="00FE28CB">
        <w:rPr>
          <w:rFonts w:cs="Arial"/>
          <w:sz w:val="24"/>
          <w:szCs w:val="24"/>
        </w:rPr>
        <w:t>. Loans will be evaluated on a case by case basis.  All factors will be taken into consideration.  The loan decision will be made depending on the characteristics of each individual application.</w:t>
      </w:r>
    </w:p>
    <w:bookmarkEnd w:id="0"/>
    <w:p w14:paraId="44D9791B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bookmarkEnd w:id="1"/>
    <w:p w14:paraId="6607D061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54D215B1" w14:textId="196959F6" w:rsidR="00FE28CB" w:rsidRPr="00DE0C40" w:rsidRDefault="00DE0C40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r w:rsidRPr="00DE0C40">
        <w:rPr>
          <w:rFonts w:cs="Arial"/>
          <w:b/>
          <w:sz w:val="24"/>
          <w:szCs w:val="24"/>
          <w:u w:val="single"/>
        </w:rPr>
        <w:t>LOAN STRUCTURE</w:t>
      </w:r>
    </w:p>
    <w:p w14:paraId="1A971C31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32214511" w14:textId="21F025C2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  <w:u w:val="single"/>
        </w:rPr>
        <w:t>Loan Size</w:t>
      </w:r>
      <w:r w:rsidRPr="00FE28CB">
        <w:rPr>
          <w:rFonts w:cs="Arial"/>
          <w:sz w:val="24"/>
          <w:szCs w:val="24"/>
        </w:rPr>
        <w:t>:  Loans generally will range from $10,000</w:t>
      </w:r>
      <w:r w:rsidR="000A3EAE">
        <w:rPr>
          <w:rFonts w:cs="Arial"/>
          <w:sz w:val="24"/>
          <w:szCs w:val="24"/>
        </w:rPr>
        <w:t xml:space="preserve"> to $25,000</w:t>
      </w:r>
      <w:r w:rsidRPr="00FE28CB">
        <w:rPr>
          <w:rFonts w:cs="Arial"/>
          <w:sz w:val="24"/>
          <w:szCs w:val="24"/>
        </w:rPr>
        <w:t xml:space="preserve">.  Exceptions to these amounts can be considered by the </w:t>
      </w:r>
      <w:r w:rsidR="001A74E6">
        <w:rPr>
          <w:rFonts w:cs="Arial"/>
          <w:sz w:val="24"/>
          <w:szCs w:val="24"/>
        </w:rPr>
        <w:t>Loan Application Advisory C</w:t>
      </w:r>
      <w:r w:rsidRPr="00FE28CB">
        <w:rPr>
          <w:rFonts w:cs="Arial"/>
          <w:sz w:val="24"/>
          <w:szCs w:val="24"/>
        </w:rPr>
        <w:t xml:space="preserve">ommittee. </w:t>
      </w:r>
    </w:p>
    <w:p w14:paraId="416358AB" w14:textId="77777777" w:rsidR="00FE28CB" w:rsidRPr="00FE28CB" w:rsidRDefault="00FE28CB" w:rsidP="00FE28CB">
      <w:pPr>
        <w:spacing w:line="276" w:lineRule="auto"/>
        <w:ind w:left="900"/>
        <w:rPr>
          <w:rFonts w:cs="Arial"/>
          <w:sz w:val="24"/>
          <w:szCs w:val="24"/>
        </w:rPr>
      </w:pPr>
    </w:p>
    <w:p w14:paraId="1B4D7A81" w14:textId="6AFAC2DF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  <w:u w:val="single"/>
        </w:rPr>
        <w:t>Pricing</w:t>
      </w:r>
      <w:r w:rsidRPr="00FE28CB">
        <w:rPr>
          <w:rFonts w:cs="Arial"/>
          <w:sz w:val="24"/>
          <w:szCs w:val="24"/>
        </w:rPr>
        <w:t xml:space="preserve">:  The rate guidelines will be </w:t>
      </w:r>
      <w:r w:rsidR="001A74E6">
        <w:rPr>
          <w:rFonts w:cs="Arial"/>
          <w:sz w:val="24"/>
          <w:szCs w:val="24"/>
        </w:rPr>
        <w:t>1.5</w:t>
      </w:r>
      <w:r w:rsidRPr="00FE28CB">
        <w:rPr>
          <w:rFonts w:cs="Arial"/>
          <w:sz w:val="24"/>
          <w:szCs w:val="24"/>
        </w:rPr>
        <w:t xml:space="preserve">%. Rates will be fixed for the term of the loan.  </w:t>
      </w:r>
    </w:p>
    <w:p w14:paraId="06616D4D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62AACC8E" w14:textId="47302D0D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  <w:u w:val="single"/>
        </w:rPr>
        <w:t>Terms and Maturity</w:t>
      </w:r>
      <w:r w:rsidRPr="00FE28CB">
        <w:rPr>
          <w:rFonts w:cs="Arial"/>
          <w:sz w:val="24"/>
          <w:szCs w:val="24"/>
        </w:rPr>
        <w:t xml:space="preserve">: The standard maturity will be </w:t>
      </w:r>
      <w:r w:rsidR="000A3EAE">
        <w:rPr>
          <w:rFonts w:cs="Arial"/>
          <w:sz w:val="24"/>
          <w:szCs w:val="24"/>
        </w:rPr>
        <w:t>between</w:t>
      </w:r>
      <w:r w:rsidRPr="00FE28CB">
        <w:rPr>
          <w:rFonts w:cs="Arial"/>
          <w:sz w:val="24"/>
          <w:szCs w:val="24"/>
        </w:rPr>
        <w:t xml:space="preserve"> 12 or </w:t>
      </w:r>
      <w:r w:rsidR="000A3EAE">
        <w:rPr>
          <w:rFonts w:cs="Arial"/>
          <w:sz w:val="24"/>
          <w:szCs w:val="24"/>
        </w:rPr>
        <w:t>36</w:t>
      </w:r>
      <w:r w:rsidRPr="00FE28CB">
        <w:rPr>
          <w:rFonts w:cs="Arial"/>
          <w:sz w:val="24"/>
          <w:szCs w:val="24"/>
        </w:rPr>
        <w:t xml:space="preserve"> months; however, the amortization will be designed to meet the needs of the borrower</w:t>
      </w:r>
      <w:r w:rsidR="008C547E">
        <w:rPr>
          <w:rFonts w:cs="Arial"/>
          <w:sz w:val="24"/>
          <w:szCs w:val="24"/>
        </w:rPr>
        <w:t>’</w:t>
      </w:r>
      <w:r w:rsidRPr="00FE28CB">
        <w:rPr>
          <w:rFonts w:cs="Arial"/>
          <w:sz w:val="24"/>
          <w:szCs w:val="24"/>
        </w:rPr>
        <w:t xml:space="preserve">s </w:t>
      </w:r>
      <w:proofErr w:type="spellStart"/>
      <w:r w:rsidRPr="00FE28CB">
        <w:rPr>
          <w:rFonts w:cs="Arial"/>
          <w:sz w:val="24"/>
          <w:szCs w:val="24"/>
        </w:rPr>
        <w:t>cashflow</w:t>
      </w:r>
      <w:proofErr w:type="spellEnd"/>
      <w:r w:rsidRPr="00FE28CB">
        <w:rPr>
          <w:rFonts w:cs="Arial"/>
          <w:sz w:val="24"/>
          <w:szCs w:val="24"/>
        </w:rPr>
        <w:t xml:space="preserve">.  </w:t>
      </w:r>
      <w:r w:rsidR="000A3EAE">
        <w:rPr>
          <w:rFonts w:cs="Arial"/>
          <w:sz w:val="24"/>
          <w:szCs w:val="24"/>
        </w:rPr>
        <w:t xml:space="preserve">Ideally, proponents identifying a repayment period of less than 24 months will be viewed </w:t>
      </w:r>
      <w:proofErr w:type="spellStart"/>
      <w:r w:rsidR="000A3EAE">
        <w:rPr>
          <w:rFonts w:cs="Arial"/>
          <w:sz w:val="24"/>
          <w:szCs w:val="24"/>
        </w:rPr>
        <w:t>favourably</w:t>
      </w:r>
      <w:proofErr w:type="spellEnd"/>
      <w:r w:rsidR="000A3EAE">
        <w:rPr>
          <w:rFonts w:cs="Arial"/>
          <w:sz w:val="24"/>
          <w:szCs w:val="24"/>
        </w:rPr>
        <w:t>.</w:t>
      </w:r>
    </w:p>
    <w:p w14:paraId="4D765C85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50C83A99" w14:textId="0A123983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  <w:u w:val="single"/>
        </w:rPr>
        <w:t>Approval</w:t>
      </w:r>
      <w:r w:rsidRPr="00FE28CB">
        <w:rPr>
          <w:rFonts w:cs="Arial"/>
          <w:sz w:val="24"/>
          <w:szCs w:val="24"/>
        </w:rPr>
        <w:t xml:space="preserve">:  Underwritten applications will be reviewed by the Loan </w:t>
      </w:r>
      <w:r w:rsidR="001A74E6">
        <w:rPr>
          <w:rFonts w:cs="Arial"/>
          <w:sz w:val="24"/>
          <w:szCs w:val="24"/>
        </w:rPr>
        <w:t xml:space="preserve">Application Advisory </w:t>
      </w:r>
      <w:r w:rsidRPr="00FE28CB">
        <w:rPr>
          <w:rFonts w:cs="Arial"/>
          <w:sz w:val="24"/>
          <w:szCs w:val="24"/>
        </w:rPr>
        <w:t xml:space="preserve">Committee with a recommendation </w:t>
      </w:r>
      <w:r w:rsidR="001A74E6">
        <w:rPr>
          <w:rFonts w:cs="Arial"/>
          <w:sz w:val="24"/>
          <w:szCs w:val="24"/>
        </w:rPr>
        <w:t>to</w:t>
      </w:r>
      <w:r w:rsidRPr="00FE28CB">
        <w:rPr>
          <w:rFonts w:cs="Arial"/>
          <w:sz w:val="24"/>
          <w:szCs w:val="24"/>
        </w:rPr>
        <w:t xml:space="preserve"> the</w:t>
      </w:r>
      <w:r w:rsidR="001A74E6">
        <w:rPr>
          <w:rFonts w:cs="Arial"/>
          <w:sz w:val="24"/>
          <w:szCs w:val="24"/>
        </w:rPr>
        <w:t xml:space="preserve"> Township of</w:t>
      </w:r>
      <w:r w:rsidRPr="00FE28CB">
        <w:rPr>
          <w:rFonts w:cs="Arial"/>
          <w:sz w:val="24"/>
          <w:szCs w:val="24"/>
        </w:rPr>
        <w:t xml:space="preserve"> Manitouwadge</w:t>
      </w:r>
      <w:r w:rsidR="001A74E6">
        <w:rPr>
          <w:rFonts w:cs="Arial"/>
          <w:sz w:val="24"/>
          <w:szCs w:val="24"/>
        </w:rPr>
        <w:t>,</w:t>
      </w:r>
      <w:r w:rsidRPr="00FE28CB">
        <w:rPr>
          <w:rFonts w:cs="Arial"/>
          <w:sz w:val="24"/>
          <w:szCs w:val="24"/>
        </w:rPr>
        <w:t xml:space="preserve"> Economic Development Office (MEDO)</w:t>
      </w:r>
      <w:r w:rsidR="000A3EAE">
        <w:rPr>
          <w:rFonts w:cs="Arial"/>
          <w:sz w:val="24"/>
          <w:szCs w:val="24"/>
        </w:rPr>
        <w:t xml:space="preserve"> to be forwarded to t</w:t>
      </w:r>
      <w:r w:rsidR="001A74E6">
        <w:rPr>
          <w:rFonts w:cs="Arial"/>
          <w:sz w:val="24"/>
          <w:szCs w:val="24"/>
        </w:rPr>
        <w:t>he Manitouwadge</w:t>
      </w:r>
      <w:r w:rsidR="0079769D">
        <w:rPr>
          <w:rFonts w:cs="Arial"/>
          <w:sz w:val="24"/>
          <w:szCs w:val="24"/>
        </w:rPr>
        <w:t xml:space="preserve"> Economic Development Corporation</w:t>
      </w:r>
      <w:r w:rsidR="000A3EAE">
        <w:rPr>
          <w:rFonts w:cs="Arial"/>
          <w:sz w:val="24"/>
          <w:szCs w:val="24"/>
        </w:rPr>
        <w:t xml:space="preserve"> (MEDC) who</w:t>
      </w:r>
      <w:r w:rsidR="001A74E6">
        <w:rPr>
          <w:rFonts w:cs="Arial"/>
          <w:sz w:val="24"/>
          <w:szCs w:val="24"/>
        </w:rPr>
        <w:t xml:space="preserve"> </w:t>
      </w:r>
      <w:r w:rsidRPr="00FE28CB">
        <w:rPr>
          <w:rFonts w:cs="Arial"/>
          <w:sz w:val="24"/>
          <w:szCs w:val="24"/>
        </w:rPr>
        <w:t>will have final approval as they are the lender of record.</w:t>
      </w:r>
    </w:p>
    <w:p w14:paraId="2C7CE915" w14:textId="77777777" w:rsidR="00FE28CB" w:rsidRPr="00FE28CB" w:rsidRDefault="00FE28CB" w:rsidP="00FE28CB">
      <w:pPr>
        <w:spacing w:line="276" w:lineRule="auto"/>
        <w:ind w:left="900"/>
        <w:rPr>
          <w:rFonts w:cs="Arial"/>
          <w:sz w:val="24"/>
          <w:szCs w:val="24"/>
          <w:u w:val="single"/>
        </w:rPr>
      </w:pPr>
      <w:bookmarkStart w:id="2" w:name="_GoBack"/>
      <w:bookmarkEnd w:id="2"/>
    </w:p>
    <w:p w14:paraId="4F069AE0" w14:textId="77777777" w:rsidR="00FE28CB" w:rsidRPr="00FE28CB" w:rsidRDefault="00FE28CB" w:rsidP="00FE28CB">
      <w:pPr>
        <w:spacing w:line="276" w:lineRule="auto"/>
        <w:ind w:left="900"/>
        <w:rPr>
          <w:rFonts w:cs="Arial"/>
          <w:sz w:val="24"/>
          <w:szCs w:val="24"/>
          <w:u w:val="single"/>
        </w:rPr>
      </w:pPr>
    </w:p>
    <w:p w14:paraId="4B7071D2" w14:textId="77777777" w:rsidR="00FE28CB" w:rsidRPr="00DE0C40" w:rsidRDefault="00FE28CB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</w:rPr>
      </w:pPr>
      <w:r w:rsidRPr="00DE0C40">
        <w:rPr>
          <w:rFonts w:cs="Arial"/>
          <w:b/>
          <w:sz w:val="24"/>
          <w:szCs w:val="24"/>
          <w:u w:val="single"/>
        </w:rPr>
        <w:t>DISPOSITION OF FUNDS</w:t>
      </w:r>
    </w:p>
    <w:p w14:paraId="33CB5517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1A8C17FE" w14:textId="1AEF5ACD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 xml:space="preserve">Disbursement: Loans will be disbursed only after all documentation is complete and all loan forms have been signed by all parties.  </w:t>
      </w:r>
    </w:p>
    <w:p w14:paraId="0B812D70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75B8E412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51128431" w14:textId="25F936CB" w:rsidR="00FE28CB" w:rsidRPr="00DE0C40" w:rsidRDefault="00DE0C40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r w:rsidRPr="00DE0C40">
        <w:rPr>
          <w:rFonts w:cs="Arial"/>
          <w:b/>
          <w:sz w:val="24"/>
          <w:szCs w:val="24"/>
          <w:u w:val="single"/>
        </w:rPr>
        <w:t>LOAN SERVICING PROCEDURES</w:t>
      </w:r>
    </w:p>
    <w:p w14:paraId="4E663D2B" w14:textId="77777777" w:rsidR="00FE28CB" w:rsidRPr="00FE28CB" w:rsidRDefault="00FE28CB" w:rsidP="00FE28CB">
      <w:pPr>
        <w:spacing w:line="276" w:lineRule="auto"/>
        <w:ind w:left="540"/>
        <w:rPr>
          <w:rFonts w:cs="Arial"/>
          <w:b/>
          <w:sz w:val="24"/>
          <w:szCs w:val="24"/>
          <w:u w:val="single"/>
        </w:rPr>
      </w:pPr>
    </w:p>
    <w:p w14:paraId="43456DA4" w14:textId="3E7D4C4E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 xml:space="preserve">Recommended method of loan payments is by </w:t>
      </w:r>
      <w:proofErr w:type="spellStart"/>
      <w:r w:rsidRPr="00FE28CB">
        <w:rPr>
          <w:rFonts w:cs="Arial"/>
          <w:sz w:val="24"/>
          <w:szCs w:val="24"/>
        </w:rPr>
        <w:t>cheque</w:t>
      </w:r>
      <w:proofErr w:type="spellEnd"/>
      <w:r w:rsidRPr="00FE28CB">
        <w:rPr>
          <w:rFonts w:cs="Arial"/>
          <w:sz w:val="24"/>
          <w:szCs w:val="24"/>
        </w:rPr>
        <w:t xml:space="preserve"> from the borrower’s account</w:t>
      </w:r>
      <w:r w:rsidR="0079769D">
        <w:rPr>
          <w:rFonts w:cs="Arial"/>
          <w:sz w:val="24"/>
          <w:szCs w:val="24"/>
        </w:rPr>
        <w:t xml:space="preserve"> payable to the Manitouwadge Economic Development Corporation</w:t>
      </w:r>
      <w:r w:rsidRPr="00FE28CB">
        <w:rPr>
          <w:rFonts w:cs="Arial"/>
          <w:sz w:val="24"/>
          <w:szCs w:val="24"/>
        </w:rPr>
        <w:t>. All funds received through loan servicing and repayments are deposited into a</w:t>
      </w:r>
      <w:r w:rsidR="0079769D">
        <w:rPr>
          <w:rFonts w:cs="Arial"/>
          <w:sz w:val="24"/>
          <w:szCs w:val="24"/>
        </w:rPr>
        <w:t>n</w:t>
      </w:r>
      <w:r w:rsidRPr="00FE28CB">
        <w:rPr>
          <w:rFonts w:cs="Arial"/>
          <w:sz w:val="24"/>
          <w:szCs w:val="24"/>
        </w:rPr>
        <w:t xml:space="preserve"> </w:t>
      </w:r>
      <w:r w:rsidR="004432ED" w:rsidRPr="00FE28CB">
        <w:rPr>
          <w:rFonts w:cs="Arial"/>
          <w:sz w:val="24"/>
          <w:szCs w:val="24"/>
        </w:rPr>
        <w:t>interest-bearing</w:t>
      </w:r>
      <w:r w:rsidRPr="00FE28CB">
        <w:rPr>
          <w:rFonts w:cs="Arial"/>
          <w:sz w:val="24"/>
          <w:szCs w:val="24"/>
        </w:rPr>
        <w:t xml:space="preserve"> account </w:t>
      </w:r>
      <w:r w:rsidR="001A74E6">
        <w:rPr>
          <w:rFonts w:cs="Arial"/>
          <w:sz w:val="24"/>
          <w:szCs w:val="24"/>
        </w:rPr>
        <w:t>to be used for ongoing loans for existing and start</w:t>
      </w:r>
      <w:r w:rsidR="001C50DE">
        <w:rPr>
          <w:rFonts w:cs="Arial"/>
          <w:sz w:val="24"/>
          <w:szCs w:val="24"/>
        </w:rPr>
        <w:t>-</w:t>
      </w:r>
      <w:r w:rsidR="001A74E6">
        <w:rPr>
          <w:rFonts w:cs="Arial"/>
          <w:sz w:val="24"/>
          <w:szCs w:val="24"/>
        </w:rPr>
        <w:t>up businesses</w:t>
      </w:r>
      <w:r w:rsidRPr="00FE28CB">
        <w:rPr>
          <w:rFonts w:cs="Arial"/>
          <w:sz w:val="24"/>
          <w:szCs w:val="24"/>
        </w:rPr>
        <w:t>.</w:t>
      </w:r>
    </w:p>
    <w:p w14:paraId="598C104E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6D5A7778" w14:textId="26BBDE5F" w:rsidR="00FE28CB" w:rsidRPr="00FE28CB" w:rsidRDefault="0079769D" w:rsidP="00FE28C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Township of Manitouwadge will post f</w:t>
      </w:r>
      <w:r w:rsidR="00FE28CB" w:rsidRPr="00FE28CB">
        <w:rPr>
          <w:rFonts w:cs="Arial"/>
          <w:sz w:val="24"/>
          <w:szCs w:val="24"/>
        </w:rPr>
        <w:t xml:space="preserve">ollow up notes on the software system when the loan is booked for tracking as needed for loan expiration dates, loan maturity and financials.  </w:t>
      </w:r>
    </w:p>
    <w:p w14:paraId="42A62F74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 xml:space="preserve">      </w:t>
      </w:r>
    </w:p>
    <w:p w14:paraId="7C774E87" w14:textId="52BF0A39" w:rsidR="00FE28CB" w:rsidRPr="00FE28CB" w:rsidRDefault="0079769D" w:rsidP="00FE28CB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MEDC will provide m</w:t>
      </w:r>
      <w:r w:rsidR="00FE28CB" w:rsidRPr="00FE28CB">
        <w:rPr>
          <w:rFonts w:cs="Arial"/>
          <w:sz w:val="24"/>
          <w:szCs w:val="24"/>
        </w:rPr>
        <w:t xml:space="preserve">onthly </w:t>
      </w:r>
      <w:r>
        <w:rPr>
          <w:rFonts w:cs="Arial"/>
          <w:sz w:val="24"/>
          <w:szCs w:val="24"/>
        </w:rPr>
        <w:t xml:space="preserve">financial statements to the Township of Manitouwadge </w:t>
      </w:r>
      <w:r w:rsidR="00FE28CB" w:rsidRPr="00FE28CB">
        <w:rPr>
          <w:rFonts w:cs="Arial"/>
          <w:sz w:val="24"/>
          <w:szCs w:val="24"/>
        </w:rPr>
        <w:t xml:space="preserve">ensuring all loans are current.  Delinquent and defaulted loans are reviewed weekly by </w:t>
      </w:r>
      <w:r>
        <w:rPr>
          <w:rFonts w:cs="Arial"/>
          <w:sz w:val="24"/>
          <w:szCs w:val="24"/>
        </w:rPr>
        <w:t>the</w:t>
      </w:r>
      <w:r w:rsidR="00FE28CB" w:rsidRPr="00FE28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loan administrator</w:t>
      </w:r>
      <w:r w:rsidR="00FE28CB" w:rsidRPr="00FE28CB">
        <w:rPr>
          <w:rFonts w:cs="Arial"/>
          <w:sz w:val="24"/>
          <w:szCs w:val="24"/>
        </w:rPr>
        <w:t>. When immediate action is necessary to protect fund assets</w:t>
      </w:r>
      <w:r>
        <w:rPr>
          <w:rFonts w:cs="Arial"/>
          <w:sz w:val="24"/>
          <w:szCs w:val="24"/>
        </w:rPr>
        <w:t>,</w:t>
      </w:r>
      <w:r w:rsidR="006C3D26">
        <w:rPr>
          <w:rFonts w:cs="Arial"/>
          <w:sz w:val="24"/>
          <w:szCs w:val="24"/>
        </w:rPr>
        <w:t xml:space="preserve"> ph</w:t>
      </w:r>
      <w:r w:rsidR="00FE28CB" w:rsidRPr="00FE28CB">
        <w:rPr>
          <w:rFonts w:cs="Arial"/>
          <w:sz w:val="24"/>
          <w:szCs w:val="24"/>
        </w:rPr>
        <w:t xml:space="preserve">one calls will be made once the borrower is 10 days late.  Late fees can be assessed monthly for as long as the loan is delinquent. </w:t>
      </w:r>
    </w:p>
    <w:p w14:paraId="080C85A3" w14:textId="77777777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</w:p>
    <w:p w14:paraId="6D902DD4" w14:textId="7BE81714" w:rsidR="00FE28CB" w:rsidRDefault="00FE28CB" w:rsidP="00F958EC">
      <w:pPr>
        <w:rPr>
          <w:sz w:val="24"/>
          <w:szCs w:val="24"/>
          <w:lang w:val="en-CA"/>
        </w:rPr>
      </w:pPr>
      <w:r w:rsidRPr="00C81A5D">
        <w:rPr>
          <w:rFonts w:cs="Arial"/>
          <w:sz w:val="24"/>
          <w:szCs w:val="24"/>
        </w:rPr>
        <w:t xml:space="preserve">Meetings with the delinquent borrowers </w:t>
      </w:r>
      <w:r w:rsidR="006C3D26" w:rsidRPr="00C81A5D">
        <w:rPr>
          <w:rFonts w:cs="Arial"/>
          <w:sz w:val="24"/>
          <w:szCs w:val="24"/>
        </w:rPr>
        <w:t>will be</w:t>
      </w:r>
      <w:r w:rsidRPr="00C81A5D">
        <w:rPr>
          <w:rFonts w:cs="Arial"/>
          <w:sz w:val="24"/>
          <w:szCs w:val="24"/>
        </w:rPr>
        <w:t xml:space="preserve"> </w:t>
      </w:r>
      <w:r w:rsidR="0079769D">
        <w:rPr>
          <w:rFonts w:cs="Arial"/>
          <w:sz w:val="24"/>
          <w:szCs w:val="24"/>
        </w:rPr>
        <w:t xml:space="preserve">arranged by the loan </w:t>
      </w:r>
      <w:r w:rsidR="00DE05D2">
        <w:rPr>
          <w:rFonts w:cs="Arial"/>
          <w:sz w:val="24"/>
          <w:szCs w:val="24"/>
        </w:rPr>
        <w:t xml:space="preserve">administrator </w:t>
      </w:r>
      <w:r w:rsidR="0079769D">
        <w:rPr>
          <w:rFonts w:cs="Arial"/>
          <w:sz w:val="24"/>
          <w:szCs w:val="24"/>
        </w:rPr>
        <w:t xml:space="preserve">and </w:t>
      </w:r>
      <w:r w:rsidRPr="00C81A5D">
        <w:rPr>
          <w:rFonts w:cs="Arial"/>
          <w:sz w:val="24"/>
          <w:szCs w:val="24"/>
        </w:rPr>
        <w:t>scheduled on an as</w:t>
      </w:r>
      <w:r w:rsidR="00C81A5D">
        <w:rPr>
          <w:rFonts w:cs="Arial"/>
          <w:sz w:val="24"/>
          <w:szCs w:val="24"/>
        </w:rPr>
        <w:t>-</w:t>
      </w:r>
      <w:r w:rsidRPr="00C81A5D">
        <w:rPr>
          <w:rFonts w:cs="Arial"/>
          <w:sz w:val="24"/>
          <w:szCs w:val="24"/>
        </w:rPr>
        <w:t xml:space="preserve">needed basis.  If a </w:t>
      </w:r>
      <w:r w:rsidR="006C3D26" w:rsidRPr="00C81A5D">
        <w:rPr>
          <w:rFonts w:cs="Arial"/>
          <w:sz w:val="24"/>
          <w:szCs w:val="24"/>
        </w:rPr>
        <w:t>borrower</w:t>
      </w:r>
      <w:r w:rsidRPr="00C81A5D">
        <w:rPr>
          <w:rFonts w:cs="Arial"/>
          <w:sz w:val="24"/>
          <w:szCs w:val="24"/>
        </w:rPr>
        <w:t xml:space="preserve"> is delinquent more than 90 days, </w:t>
      </w:r>
      <w:r w:rsidR="00C81A5D" w:rsidRPr="00C81A5D">
        <w:rPr>
          <w:sz w:val="24"/>
          <w:szCs w:val="24"/>
          <w:lang w:val="en-CA"/>
        </w:rPr>
        <w:t>delinquent and defaulted accounts may be subject to collection options which include</w:t>
      </w:r>
      <w:r w:rsidR="00C81A5D">
        <w:rPr>
          <w:sz w:val="24"/>
          <w:szCs w:val="24"/>
          <w:lang w:val="en-CA"/>
        </w:rPr>
        <w:t>,</w:t>
      </w:r>
      <w:r w:rsidR="00C81A5D" w:rsidRPr="00C81A5D">
        <w:rPr>
          <w:sz w:val="24"/>
          <w:szCs w:val="24"/>
          <w:lang w:val="en-CA"/>
        </w:rPr>
        <w:t xml:space="preserve"> but are not limited to</w:t>
      </w:r>
      <w:r w:rsidR="00C81A5D">
        <w:rPr>
          <w:sz w:val="24"/>
          <w:szCs w:val="24"/>
          <w:lang w:val="en-CA"/>
        </w:rPr>
        <w:t>,</w:t>
      </w:r>
      <w:r w:rsidR="00C81A5D" w:rsidRPr="00C81A5D">
        <w:rPr>
          <w:sz w:val="24"/>
          <w:szCs w:val="24"/>
          <w:lang w:val="en-CA"/>
        </w:rPr>
        <w:t xml:space="preserve"> the use of a collection agency, small claims court, or the use of a </w:t>
      </w:r>
      <w:r w:rsidR="00DE0C40">
        <w:rPr>
          <w:sz w:val="24"/>
          <w:szCs w:val="24"/>
          <w:lang w:val="en-CA"/>
        </w:rPr>
        <w:lastRenderedPageBreak/>
        <w:t>Sher</w:t>
      </w:r>
      <w:r w:rsidR="00C81A5D" w:rsidRPr="00C81A5D">
        <w:rPr>
          <w:sz w:val="24"/>
          <w:szCs w:val="24"/>
          <w:lang w:val="en-CA"/>
        </w:rPr>
        <w:t xml:space="preserve">iff.  All costs associated with these methods are the responsibility of the delinquent </w:t>
      </w:r>
      <w:r w:rsidR="00C81A5D">
        <w:rPr>
          <w:sz w:val="24"/>
          <w:szCs w:val="24"/>
          <w:lang w:val="en-CA"/>
        </w:rPr>
        <w:t>borrower</w:t>
      </w:r>
      <w:r w:rsidR="00C81A5D" w:rsidRPr="00C81A5D">
        <w:rPr>
          <w:sz w:val="24"/>
          <w:szCs w:val="24"/>
          <w:lang w:val="en-CA"/>
        </w:rPr>
        <w:t>.</w:t>
      </w:r>
    </w:p>
    <w:p w14:paraId="1394B07B" w14:textId="77777777" w:rsidR="00532487" w:rsidRPr="00FE28CB" w:rsidRDefault="00532487" w:rsidP="00F958EC">
      <w:pPr>
        <w:rPr>
          <w:rFonts w:cs="Arial"/>
          <w:sz w:val="24"/>
          <w:szCs w:val="24"/>
        </w:rPr>
      </w:pPr>
    </w:p>
    <w:p w14:paraId="4F3B0F88" w14:textId="184B9E62" w:rsidR="00FE28CB" w:rsidRPr="00DE0C40" w:rsidRDefault="00DE0C40" w:rsidP="00FE28CB">
      <w:pPr>
        <w:numPr>
          <w:ilvl w:val="0"/>
          <w:numId w:val="9"/>
        </w:num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  <w:r w:rsidRPr="00DE0C40">
        <w:rPr>
          <w:rFonts w:cs="Arial"/>
          <w:b/>
          <w:sz w:val="24"/>
          <w:szCs w:val="24"/>
          <w:u w:val="single"/>
        </w:rPr>
        <w:t>REPORTING</w:t>
      </w:r>
    </w:p>
    <w:p w14:paraId="27CFB571" w14:textId="77777777" w:rsidR="00FE28CB" w:rsidRPr="00FE28CB" w:rsidRDefault="00FE28CB" w:rsidP="00FE28CB">
      <w:pPr>
        <w:spacing w:line="276" w:lineRule="auto"/>
        <w:ind w:left="540"/>
        <w:rPr>
          <w:rFonts w:cs="Arial"/>
          <w:sz w:val="24"/>
          <w:szCs w:val="24"/>
          <w:u w:val="single"/>
        </w:rPr>
      </w:pPr>
    </w:p>
    <w:p w14:paraId="66706C24" w14:textId="3C2C6B13" w:rsidR="00FE28CB" w:rsidRPr="00FE28CB" w:rsidRDefault="00FE28CB" w:rsidP="00FE28CB">
      <w:pPr>
        <w:spacing w:line="276" w:lineRule="auto"/>
        <w:rPr>
          <w:rFonts w:cs="Arial"/>
          <w:sz w:val="24"/>
          <w:szCs w:val="24"/>
        </w:rPr>
      </w:pPr>
      <w:r w:rsidRPr="00FE28CB">
        <w:rPr>
          <w:rFonts w:cs="Arial"/>
          <w:sz w:val="24"/>
          <w:szCs w:val="24"/>
        </w:rPr>
        <w:t xml:space="preserve">The </w:t>
      </w:r>
      <w:r w:rsidR="0079769D">
        <w:rPr>
          <w:rFonts w:cs="Arial"/>
          <w:sz w:val="24"/>
          <w:szCs w:val="24"/>
        </w:rPr>
        <w:t xml:space="preserve">loan </w:t>
      </w:r>
      <w:r w:rsidR="00DE05D2">
        <w:rPr>
          <w:rFonts w:cs="Arial"/>
          <w:sz w:val="24"/>
          <w:szCs w:val="24"/>
        </w:rPr>
        <w:t>administrator</w:t>
      </w:r>
      <w:r w:rsidR="00DE05D2" w:rsidRPr="00FE28CB">
        <w:rPr>
          <w:rFonts w:cs="Arial"/>
          <w:sz w:val="24"/>
          <w:szCs w:val="24"/>
        </w:rPr>
        <w:t xml:space="preserve"> </w:t>
      </w:r>
      <w:r w:rsidRPr="00FE28CB">
        <w:rPr>
          <w:rFonts w:cs="Arial"/>
          <w:sz w:val="24"/>
          <w:szCs w:val="24"/>
        </w:rPr>
        <w:t xml:space="preserve">will report </w:t>
      </w:r>
      <w:r w:rsidR="0079769D">
        <w:rPr>
          <w:rFonts w:cs="Arial"/>
          <w:sz w:val="24"/>
          <w:szCs w:val="24"/>
        </w:rPr>
        <w:t xml:space="preserve">on a </w:t>
      </w:r>
      <w:r w:rsidRPr="00FE28CB">
        <w:rPr>
          <w:rFonts w:cs="Arial"/>
          <w:sz w:val="24"/>
          <w:szCs w:val="24"/>
        </w:rPr>
        <w:t xml:space="preserve">quarterly </w:t>
      </w:r>
      <w:r w:rsidR="0079769D">
        <w:rPr>
          <w:rFonts w:cs="Arial"/>
          <w:sz w:val="24"/>
          <w:szCs w:val="24"/>
        </w:rPr>
        <w:t xml:space="preserve">basis </w:t>
      </w:r>
      <w:r w:rsidRPr="00FE28CB">
        <w:rPr>
          <w:rFonts w:cs="Arial"/>
          <w:sz w:val="24"/>
          <w:szCs w:val="24"/>
        </w:rPr>
        <w:t xml:space="preserve">a summary of all loan activity to the Loan </w:t>
      </w:r>
      <w:r w:rsidR="006C3D26">
        <w:rPr>
          <w:rFonts w:cs="Arial"/>
          <w:sz w:val="24"/>
          <w:szCs w:val="24"/>
        </w:rPr>
        <w:t xml:space="preserve">Application Advisory </w:t>
      </w:r>
      <w:r w:rsidRPr="00FE28CB">
        <w:rPr>
          <w:rFonts w:cs="Arial"/>
          <w:sz w:val="24"/>
          <w:szCs w:val="24"/>
        </w:rPr>
        <w:t>Committee. These reports will include, approvals, declinations, delinquencies, geographic concentration, loans outstanding and fund balance.</w:t>
      </w:r>
    </w:p>
    <w:p w14:paraId="69CFBD82" w14:textId="77777777" w:rsidR="00723292" w:rsidRPr="00FE28CB" w:rsidRDefault="00723292" w:rsidP="00FE28CB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038E53EA" w14:textId="62B3DB61" w:rsidR="00BB11D6" w:rsidRPr="00FE28CB" w:rsidRDefault="00BB11D6" w:rsidP="00FE28CB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1B2DA18F" w14:textId="1E59A441" w:rsidR="00BB11D6" w:rsidRPr="00FE28CB" w:rsidRDefault="00BB11D6" w:rsidP="00FE28CB">
      <w:pPr>
        <w:spacing w:line="276" w:lineRule="auto"/>
        <w:rPr>
          <w:rFonts w:cs="Arial"/>
          <w:sz w:val="24"/>
          <w:szCs w:val="24"/>
        </w:rPr>
      </w:pPr>
    </w:p>
    <w:p w14:paraId="7C37BC9C" w14:textId="77777777" w:rsidR="00BB11D6" w:rsidRPr="00FE28CB" w:rsidRDefault="00BB11D6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p w14:paraId="64DA35F5" w14:textId="77777777" w:rsidR="00723292" w:rsidRPr="00FE28CB" w:rsidRDefault="00723292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p w14:paraId="1600795D" w14:textId="2B3C9783" w:rsidR="00723292" w:rsidRPr="00FE28CB" w:rsidRDefault="00723292" w:rsidP="00FE28CB">
      <w:pPr>
        <w:spacing w:line="276" w:lineRule="auto"/>
        <w:jc w:val="left"/>
        <w:rPr>
          <w:rFonts w:cs="Arial"/>
          <w:sz w:val="24"/>
          <w:szCs w:val="24"/>
        </w:rPr>
      </w:pPr>
    </w:p>
    <w:p w14:paraId="4E8D554E" w14:textId="77777777" w:rsidR="00723292" w:rsidRPr="00FE28CB" w:rsidRDefault="00723292" w:rsidP="00FE28CB">
      <w:pPr>
        <w:spacing w:line="276" w:lineRule="auto"/>
        <w:jc w:val="left"/>
        <w:rPr>
          <w:rFonts w:cs="Arial"/>
          <w:sz w:val="24"/>
          <w:szCs w:val="24"/>
        </w:rPr>
      </w:pPr>
    </w:p>
    <w:p w14:paraId="79A65105" w14:textId="19827C4E" w:rsidR="00E2290F" w:rsidRPr="00FE28CB" w:rsidRDefault="00E2290F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p w14:paraId="347C1B52" w14:textId="1830FAB9" w:rsidR="00E2290F" w:rsidRPr="00FE28CB" w:rsidRDefault="00E2290F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p w14:paraId="0A6D0A08" w14:textId="14267A86" w:rsidR="00E2290F" w:rsidRPr="00FE28CB" w:rsidRDefault="00E2290F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p w14:paraId="23372133" w14:textId="77777777" w:rsidR="00E2290F" w:rsidRPr="00FE28CB" w:rsidRDefault="00E2290F" w:rsidP="00FE28CB">
      <w:pPr>
        <w:spacing w:line="276" w:lineRule="auto"/>
        <w:jc w:val="left"/>
        <w:rPr>
          <w:rFonts w:cs="Arial"/>
          <w:b/>
          <w:bCs/>
          <w:sz w:val="24"/>
          <w:szCs w:val="24"/>
          <w:u w:val="single"/>
        </w:rPr>
      </w:pPr>
    </w:p>
    <w:sectPr w:rsidR="00E2290F" w:rsidRPr="00FE28CB" w:rsidSect="00DE0C40">
      <w:footerReference w:type="default" r:id="rId11"/>
      <w:headerReference w:type="first" r:id="rId12"/>
      <w:pgSz w:w="12240" w:h="15840"/>
      <w:pgMar w:top="-135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F60A" w14:textId="77777777" w:rsidR="00EA61A1" w:rsidRDefault="00EA61A1" w:rsidP="00850E94">
      <w:pPr>
        <w:spacing w:line="240" w:lineRule="auto"/>
      </w:pPr>
      <w:r>
        <w:separator/>
      </w:r>
    </w:p>
  </w:endnote>
  <w:endnote w:type="continuationSeparator" w:id="0">
    <w:p w14:paraId="75804418" w14:textId="77777777" w:rsidR="00EA61A1" w:rsidRDefault="00EA61A1" w:rsidP="0085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66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D2FD5" w14:textId="2964C7E2" w:rsidR="006C3D26" w:rsidRDefault="006C3D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2534A2" w14:textId="77777777" w:rsidR="006C3D26" w:rsidRDefault="006C3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4D6C" w14:textId="77777777" w:rsidR="00EA61A1" w:rsidRDefault="00EA61A1" w:rsidP="00850E94">
      <w:pPr>
        <w:spacing w:line="240" w:lineRule="auto"/>
      </w:pPr>
      <w:r>
        <w:separator/>
      </w:r>
    </w:p>
  </w:footnote>
  <w:footnote w:type="continuationSeparator" w:id="0">
    <w:p w14:paraId="66F058C5" w14:textId="77777777" w:rsidR="00EA61A1" w:rsidRDefault="00EA61A1" w:rsidP="0085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  <w:gridCol w:w="2610"/>
      <w:gridCol w:w="1710"/>
    </w:tblGrid>
    <w:tr w:rsidR="00371B1E" w:rsidRPr="00371B1E" w14:paraId="5DCA8547" w14:textId="6779A55D" w:rsidTr="00EF11BD">
      <w:trPr>
        <w:trHeight w:val="3330"/>
      </w:trPr>
      <w:tc>
        <w:tcPr>
          <w:tcW w:w="9540" w:type="dxa"/>
        </w:tcPr>
        <w:p w14:paraId="7244984C" w14:textId="68CFA1F3" w:rsidR="00850E94" w:rsidRDefault="00EF11BD" w:rsidP="00EF11BD">
          <w:pPr>
            <w:pStyle w:val="Header"/>
            <w:jc w:val="left"/>
            <w:rPr>
              <w:rFonts w:ascii="Arial" w:hAnsi="Arial" w:cs="Arial"/>
            </w:rPr>
          </w:pPr>
          <w:bookmarkStart w:id="3" w:name="_Hlk40879197"/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2DC815CB" wp14:editId="270EEECF">
                <wp:extent cx="2057400" cy="1457325"/>
                <wp:effectExtent l="0" t="0" r="0" b="9525"/>
                <wp:docPr id="49" name="Picture 4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423" cy="146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C547E">
            <w:rPr>
              <w:rFonts w:ascii="Arial" w:hAnsi="Arial" w:cs="Arial"/>
              <w:noProof/>
            </w:rPr>
            <w:pict w14:anchorId="2E954A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359.1pt;margin-top:3.75pt;width:112.5pt;height:122.75pt;z-index:251659264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  <o:OLEObject Type="Embed" ProgID="AcroExch.Document.DC" ShapeID="_x0000_s2049" DrawAspect="Content" ObjectID="_1721629779" r:id="rId3"/>
            </w:pict>
          </w:r>
        </w:p>
        <w:p w14:paraId="15FFE603" w14:textId="77777777" w:rsidR="00F006AF" w:rsidRPr="004432ED" w:rsidRDefault="00F006AF" w:rsidP="004432ED"/>
        <w:p w14:paraId="31AB34CD" w14:textId="77777777" w:rsidR="00F006AF" w:rsidRPr="004432ED" w:rsidRDefault="00F006AF" w:rsidP="004432ED"/>
        <w:p w14:paraId="2306C5A0" w14:textId="77777777" w:rsidR="00F006AF" w:rsidRPr="004432ED" w:rsidRDefault="00F006AF" w:rsidP="004432ED"/>
        <w:p w14:paraId="645C4650" w14:textId="77777777" w:rsidR="00F006AF" w:rsidRPr="004432ED" w:rsidRDefault="00F006AF" w:rsidP="004432ED"/>
        <w:p w14:paraId="4C759CEC" w14:textId="77777777" w:rsidR="00F006AF" w:rsidRDefault="00F006AF" w:rsidP="00F006AF">
          <w:pPr>
            <w:rPr>
              <w:rFonts w:eastAsiaTheme="minorHAnsi" w:cs="Arial"/>
              <w:szCs w:val="22"/>
            </w:rPr>
          </w:pPr>
        </w:p>
        <w:p w14:paraId="5ED2B6A5" w14:textId="43025B4E" w:rsidR="00F006AF" w:rsidRPr="004432ED" w:rsidRDefault="00F006AF" w:rsidP="004432ED">
          <w:pPr>
            <w:jc w:val="right"/>
          </w:pPr>
        </w:p>
      </w:tc>
      <w:tc>
        <w:tcPr>
          <w:tcW w:w="2610" w:type="dxa"/>
        </w:tcPr>
        <w:p w14:paraId="54B5CEC7" w14:textId="7B7BD477" w:rsidR="00850E94" w:rsidRPr="00B21A05" w:rsidRDefault="00850E94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</w:pPr>
        </w:p>
      </w:tc>
      <w:tc>
        <w:tcPr>
          <w:tcW w:w="1710" w:type="dxa"/>
        </w:tcPr>
        <w:p w14:paraId="40C9CE1B" w14:textId="295C9C8F" w:rsidR="00850E94" w:rsidRPr="00371B1E" w:rsidRDefault="00850E94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</w:rPr>
          </w:pPr>
        </w:p>
      </w:tc>
    </w:tr>
    <w:bookmarkEnd w:id="3"/>
  </w:tbl>
  <w:p w14:paraId="15BF69B3" w14:textId="77777777" w:rsidR="00850E94" w:rsidRPr="00371B1E" w:rsidRDefault="00850E94" w:rsidP="00583A7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D8"/>
    <w:multiLevelType w:val="hybridMultilevel"/>
    <w:tmpl w:val="B70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9C8"/>
    <w:multiLevelType w:val="hybridMultilevel"/>
    <w:tmpl w:val="D1E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7E4"/>
    <w:multiLevelType w:val="hybridMultilevel"/>
    <w:tmpl w:val="65F6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AD3"/>
    <w:multiLevelType w:val="hybridMultilevel"/>
    <w:tmpl w:val="86FCF57C"/>
    <w:lvl w:ilvl="0" w:tplc="21F06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EB3C3A"/>
    <w:multiLevelType w:val="hybridMultilevel"/>
    <w:tmpl w:val="5B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F7E"/>
    <w:multiLevelType w:val="hybridMultilevel"/>
    <w:tmpl w:val="7608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7260"/>
    <w:multiLevelType w:val="hybridMultilevel"/>
    <w:tmpl w:val="80D84F04"/>
    <w:lvl w:ilvl="0" w:tplc="C2DA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354A4A"/>
    <w:multiLevelType w:val="hybridMultilevel"/>
    <w:tmpl w:val="B09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C30A6"/>
    <w:multiLevelType w:val="hybridMultilevel"/>
    <w:tmpl w:val="318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2E89"/>
    <w:multiLevelType w:val="hybridMultilevel"/>
    <w:tmpl w:val="F9B64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94"/>
    <w:rsid w:val="00003E07"/>
    <w:rsid w:val="00055525"/>
    <w:rsid w:val="000563A7"/>
    <w:rsid w:val="000648E7"/>
    <w:rsid w:val="0006788A"/>
    <w:rsid w:val="000A3EAE"/>
    <w:rsid w:val="000D5D69"/>
    <w:rsid w:val="00111883"/>
    <w:rsid w:val="00130633"/>
    <w:rsid w:val="00137E91"/>
    <w:rsid w:val="0014232C"/>
    <w:rsid w:val="0015243B"/>
    <w:rsid w:val="001541E6"/>
    <w:rsid w:val="00175558"/>
    <w:rsid w:val="001A74E6"/>
    <w:rsid w:val="001A7647"/>
    <w:rsid w:val="001C50DE"/>
    <w:rsid w:val="00200B9A"/>
    <w:rsid w:val="002071A6"/>
    <w:rsid w:val="0021326D"/>
    <w:rsid w:val="00217723"/>
    <w:rsid w:val="00225102"/>
    <w:rsid w:val="00227B2E"/>
    <w:rsid w:val="002371C7"/>
    <w:rsid w:val="00250C7D"/>
    <w:rsid w:val="00254C12"/>
    <w:rsid w:val="00270FA9"/>
    <w:rsid w:val="002A387E"/>
    <w:rsid w:val="002A430B"/>
    <w:rsid w:val="002D7726"/>
    <w:rsid w:val="003026CD"/>
    <w:rsid w:val="00310417"/>
    <w:rsid w:val="0031429F"/>
    <w:rsid w:val="00321003"/>
    <w:rsid w:val="003404B8"/>
    <w:rsid w:val="00361AE2"/>
    <w:rsid w:val="00371B1E"/>
    <w:rsid w:val="00394B53"/>
    <w:rsid w:val="003B0797"/>
    <w:rsid w:val="003B63F6"/>
    <w:rsid w:val="003C5F73"/>
    <w:rsid w:val="003F1EC3"/>
    <w:rsid w:val="00415E6A"/>
    <w:rsid w:val="004432ED"/>
    <w:rsid w:val="00450B4A"/>
    <w:rsid w:val="00462A31"/>
    <w:rsid w:val="004C01F6"/>
    <w:rsid w:val="00521117"/>
    <w:rsid w:val="00524B5F"/>
    <w:rsid w:val="00526BF1"/>
    <w:rsid w:val="00532487"/>
    <w:rsid w:val="005335D5"/>
    <w:rsid w:val="00571A31"/>
    <w:rsid w:val="00583A7E"/>
    <w:rsid w:val="00595EBD"/>
    <w:rsid w:val="005A106D"/>
    <w:rsid w:val="005D14E9"/>
    <w:rsid w:val="006C3D26"/>
    <w:rsid w:val="006F1E3E"/>
    <w:rsid w:val="006F4437"/>
    <w:rsid w:val="006F609E"/>
    <w:rsid w:val="007074AA"/>
    <w:rsid w:val="00723292"/>
    <w:rsid w:val="00736E94"/>
    <w:rsid w:val="00740BD9"/>
    <w:rsid w:val="00745C1B"/>
    <w:rsid w:val="007505B0"/>
    <w:rsid w:val="00795357"/>
    <w:rsid w:val="0079769D"/>
    <w:rsid w:val="007B675C"/>
    <w:rsid w:val="007C50D4"/>
    <w:rsid w:val="007E0DD6"/>
    <w:rsid w:val="007E133A"/>
    <w:rsid w:val="008267D7"/>
    <w:rsid w:val="00850E94"/>
    <w:rsid w:val="00894145"/>
    <w:rsid w:val="00894482"/>
    <w:rsid w:val="008B22CD"/>
    <w:rsid w:val="008B70D0"/>
    <w:rsid w:val="008C547E"/>
    <w:rsid w:val="008F49B1"/>
    <w:rsid w:val="008F6517"/>
    <w:rsid w:val="0090025D"/>
    <w:rsid w:val="00903A6D"/>
    <w:rsid w:val="009136B2"/>
    <w:rsid w:val="00926F23"/>
    <w:rsid w:val="009650B3"/>
    <w:rsid w:val="00975892"/>
    <w:rsid w:val="009808C2"/>
    <w:rsid w:val="009876A5"/>
    <w:rsid w:val="00991CBB"/>
    <w:rsid w:val="009C4FD3"/>
    <w:rsid w:val="009E559F"/>
    <w:rsid w:val="00A2146F"/>
    <w:rsid w:val="00A71AF8"/>
    <w:rsid w:val="00A85CE6"/>
    <w:rsid w:val="00AD2538"/>
    <w:rsid w:val="00AD6509"/>
    <w:rsid w:val="00AF1E5D"/>
    <w:rsid w:val="00B14248"/>
    <w:rsid w:val="00B21A05"/>
    <w:rsid w:val="00B9131C"/>
    <w:rsid w:val="00BA234A"/>
    <w:rsid w:val="00BA300B"/>
    <w:rsid w:val="00BB11D6"/>
    <w:rsid w:val="00BD2838"/>
    <w:rsid w:val="00BE5E98"/>
    <w:rsid w:val="00BF1D6C"/>
    <w:rsid w:val="00C03B04"/>
    <w:rsid w:val="00C361CB"/>
    <w:rsid w:val="00C3769A"/>
    <w:rsid w:val="00C46DF4"/>
    <w:rsid w:val="00C81A5D"/>
    <w:rsid w:val="00C85A8C"/>
    <w:rsid w:val="00D402AF"/>
    <w:rsid w:val="00DE05D2"/>
    <w:rsid w:val="00DE0C40"/>
    <w:rsid w:val="00E2290F"/>
    <w:rsid w:val="00E474DD"/>
    <w:rsid w:val="00E56CCF"/>
    <w:rsid w:val="00EA61A1"/>
    <w:rsid w:val="00EC6EB7"/>
    <w:rsid w:val="00ED01B5"/>
    <w:rsid w:val="00EE46DD"/>
    <w:rsid w:val="00EE6204"/>
    <w:rsid w:val="00EF11BD"/>
    <w:rsid w:val="00EF4806"/>
    <w:rsid w:val="00F006AF"/>
    <w:rsid w:val="00F010ED"/>
    <w:rsid w:val="00F958EC"/>
    <w:rsid w:val="00FE28CB"/>
    <w:rsid w:val="00FE2B3F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B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4A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0E94"/>
  </w:style>
  <w:style w:type="paragraph" w:styleId="Footer">
    <w:name w:val="footer"/>
    <w:basedOn w:val="Normal"/>
    <w:link w:val="Foot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E94"/>
  </w:style>
  <w:style w:type="table" w:styleId="TableGrid">
    <w:name w:val="Table Grid"/>
    <w:basedOn w:val="TableNormal"/>
    <w:uiPriority w:val="39"/>
    <w:rsid w:val="008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1C"/>
    <w:pPr>
      <w:ind w:left="720"/>
      <w:contextualSpacing/>
    </w:pPr>
  </w:style>
  <w:style w:type="paragraph" w:styleId="Title">
    <w:name w:val="Title"/>
    <w:basedOn w:val="Normal"/>
    <w:link w:val="TitleChar"/>
    <w:qFormat/>
    <w:rsid w:val="00FE28CB"/>
    <w:pPr>
      <w:spacing w:line="240" w:lineRule="auto"/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E28CB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FE28CB"/>
    <w:pPr>
      <w:spacing w:line="240" w:lineRule="auto"/>
      <w:ind w:left="540"/>
      <w:jc w:val="left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28CB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E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C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C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E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C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4A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0E94"/>
  </w:style>
  <w:style w:type="paragraph" w:styleId="Footer">
    <w:name w:val="footer"/>
    <w:basedOn w:val="Normal"/>
    <w:link w:val="Foot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E94"/>
  </w:style>
  <w:style w:type="table" w:styleId="TableGrid">
    <w:name w:val="Table Grid"/>
    <w:basedOn w:val="TableNormal"/>
    <w:uiPriority w:val="39"/>
    <w:rsid w:val="008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1C"/>
    <w:pPr>
      <w:ind w:left="720"/>
      <w:contextualSpacing/>
    </w:pPr>
  </w:style>
  <w:style w:type="paragraph" w:styleId="Title">
    <w:name w:val="Title"/>
    <w:basedOn w:val="Normal"/>
    <w:link w:val="TitleChar"/>
    <w:qFormat/>
    <w:rsid w:val="00FE28CB"/>
    <w:pPr>
      <w:spacing w:line="240" w:lineRule="auto"/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E28CB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FE28CB"/>
    <w:pPr>
      <w:spacing w:line="240" w:lineRule="auto"/>
      <w:ind w:left="540"/>
      <w:jc w:val="left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28CB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E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C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C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E28C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erpt xmlns="91af8aa0-af78-4b78-985c-54bfcbc6f4dc" xsi:nil="true"/>
    <ImageCreateDate xmlns="F1365155-B44A-48C2-BFD4-2AA6C04892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8590D9792F6FF4CBDD7DDD4D3865FBB" ma:contentTypeVersion="1" ma:contentTypeDescription="Upload an image." ma:contentTypeScope="" ma:versionID="1f32a469c47c7931d3393c1e700b7363">
  <xsd:schema xmlns:xsd="http://www.w3.org/2001/XMLSchema" xmlns:xs="http://www.w3.org/2001/XMLSchema" xmlns:p="http://schemas.microsoft.com/office/2006/metadata/properties" xmlns:ns1="http://schemas.microsoft.com/sharepoint/v3" xmlns:ns2="F1365155-B44A-48C2-BFD4-2AA6C0489277" xmlns:ns3="http://schemas.microsoft.com/sharepoint/v3/fields" xmlns:ns4="91af8aa0-af78-4b78-985c-54bfcbc6f4dc" targetNamespace="http://schemas.microsoft.com/office/2006/metadata/properties" ma:root="true" ma:fieldsID="fc039c173d7e29bb2e839741118a41a9" ns1:_="" ns2:_="" ns3:_="" ns4:_="">
    <xsd:import namespace="http://schemas.microsoft.com/sharepoint/v3"/>
    <xsd:import namespace="F1365155-B44A-48C2-BFD4-2AA6C0489277"/>
    <xsd:import namespace="http://schemas.microsoft.com/sharepoint/v3/fields"/>
    <xsd:import namespace="91af8aa0-af78-4b78-985c-54bfcbc6f4d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excerp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5155-B44A-48C2-BFD4-2AA6C04892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8aa0-af78-4b78-985c-54bfcbc6f4dc" elementFormDefault="qualified">
    <xsd:import namespace="http://schemas.microsoft.com/office/2006/documentManagement/types"/>
    <xsd:import namespace="http://schemas.microsoft.com/office/infopath/2007/PartnerControls"/>
    <xsd:element name="excerpt" ma:index="27" nillable="true" ma:displayName="Excerpt" ma:description="" ma:LCID="1033" ma:internalName="excerpt" ma:readOnly="false">
      <xsd:simpleType>
        <xsd:restriction base="dms:Note">
          <xsd:maxLength value="25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1B075-E476-4B11-804B-3A211AF4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9524-48C7-4357-93CA-4302C06AF7E1}">
  <ds:schemaRefs>
    <ds:schemaRef ds:uri="http://schemas.microsoft.com/sharepoint/v3"/>
    <ds:schemaRef ds:uri="F1365155-B44A-48C2-BFD4-2AA6C0489277"/>
    <ds:schemaRef ds:uri="http://schemas.openxmlformats.org/package/2006/metadata/core-properties"/>
    <ds:schemaRef ds:uri="http://schemas.microsoft.com/office/2006/documentManagement/types"/>
    <ds:schemaRef ds:uri="91af8aa0-af78-4b78-985c-54bfcbc6f4dc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D70CD5-ECFA-475C-B1AC-A2B06864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65155-B44A-48C2-BFD4-2AA6C0489277"/>
    <ds:schemaRef ds:uri="http://schemas.microsoft.com/sharepoint/v3/fields"/>
    <ds:schemaRef ds:uri="91af8aa0-af78-4b78-985c-54bfcbc6f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Gemmell, John</dc:creator>
  <cp:lastModifiedBy>Florence MacLean</cp:lastModifiedBy>
  <cp:revision>3</cp:revision>
  <cp:lastPrinted>2021-11-19T20:05:00Z</cp:lastPrinted>
  <dcterms:created xsi:type="dcterms:W3CDTF">2022-08-10T13:36:00Z</dcterms:created>
  <dcterms:modified xsi:type="dcterms:W3CDTF">2022-08-10T13:43:00Z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0x0101009148F5A04DDD49CBA7127AADA5FB792B00AADE34325A8B49CDA8BB4DB53328F2140038590D9792F6FF4CBDD7DDD4D3865FBB</vt:lpwstr>
  </property>
</Properties>
</file>